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77" w:rsidRDefault="001F6445">
      <w:pPr>
        <w:spacing w:before="1" w:line="360" w:lineRule="auto"/>
        <w:ind w:left="116" w:right="116"/>
        <w:rPr>
          <w:rFonts w:ascii="Calibri Light" w:hAnsi="Calibri Light" w:cs="Calibri Light"/>
          <w:sz w:val="33"/>
        </w:rPr>
      </w:pPr>
      <w:proofErr w:type="spellStart"/>
      <w:r>
        <w:rPr>
          <w:rFonts w:ascii="Calibri Light" w:hAnsi="Calibri Light" w:cs="Calibri Light"/>
          <w:color w:val="2E5395"/>
          <w:sz w:val="32"/>
        </w:rPr>
        <w:t>Regulamin</w:t>
      </w:r>
      <w:proofErr w:type="spellEnd"/>
      <w:r>
        <w:rPr>
          <w:rFonts w:ascii="Calibri Light" w:hAnsi="Calibri Light" w:cs="Calibri Light"/>
          <w:color w:val="2E5395"/>
          <w:sz w:val="32"/>
        </w:rPr>
        <w:t xml:space="preserve"> </w:t>
      </w:r>
      <w:proofErr w:type="spellStart"/>
      <w:r>
        <w:rPr>
          <w:rFonts w:ascii="Calibri Light" w:hAnsi="Calibri Light" w:cs="Calibri Light"/>
          <w:color w:val="2E5395"/>
          <w:sz w:val="32"/>
        </w:rPr>
        <w:t>Konkursu</w:t>
      </w:r>
      <w:proofErr w:type="spellEnd"/>
      <w:r>
        <w:rPr>
          <w:rFonts w:ascii="Calibri Light" w:hAnsi="Calibri Light" w:cs="Calibri Light"/>
          <w:color w:val="2E5395"/>
          <w:sz w:val="32"/>
        </w:rPr>
        <w:t xml:space="preserve"> mini-</w:t>
      </w:r>
      <w:proofErr w:type="spellStart"/>
      <w:r>
        <w:rPr>
          <w:rFonts w:ascii="Calibri Light" w:hAnsi="Calibri Light" w:cs="Calibri Light"/>
          <w:color w:val="2E5395"/>
          <w:sz w:val="32"/>
        </w:rPr>
        <w:t>grantów</w:t>
      </w:r>
      <w:proofErr w:type="spellEnd"/>
      <w:r>
        <w:rPr>
          <w:rFonts w:ascii="Calibri Light" w:hAnsi="Calibri Light" w:cs="Calibri Light"/>
          <w:color w:val="2E5395"/>
          <w:sz w:val="32"/>
        </w:rPr>
        <w:t xml:space="preserve"> </w:t>
      </w:r>
      <w:proofErr w:type="spellStart"/>
      <w:r>
        <w:rPr>
          <w:rFonts w:ascii="Calibri Light" w:hAnsi="Calibri Light" w:cs="Calibri Light"/>
          <w:color w:val="2E5395"/>
          <w:sz w:val="32"/>
        </w:rPr>
        <w:t>studenckich</w:t>
      </w:r>
      <w:proofErr w:type="spellEnd"/>
      <w:r>
        <w:rPr>
          <w:rFonts w:ascii="Calibri Light" w:hAnsi="Calibri Light" w:cs="Calibri Light"/>
          <w:color w:val="2E5395"/>
          <w:sz w:val="32"/>
        </w:rPr>
        <w:t xml:space="preserve"> z </w:t>
      </w:r>
      <w:proofErr w:type="spellStart"/>
      <w:r>
        <w:rPr>
          <w:rFonts w:ascii="Calibri Light" w:hAnsi="Calibri Light" w:cs="Calibri Light"/>
          <w:color w:val="2E5395"/>
          <w:sz w:val="32"/>
        </w:rPr>
        <w:t>dotacji</w:t>
      </w:r>
      <w:proofErr w:type="spellEnd"/>
      <w:r>
        <w:rPr>
          <w:rFonts w:ascii="Calibri Light" w:hAnsi="Calibri Light" w:cs="Calibri Light"/>
          <w:color w:val="2E5395"/>
          <w:sz w:val="32"/>
        </w:rPr>
        <w:t xml:space="preserve"> </w:t>
      </w:r>
      <w:proofErr w:type="spellStart"/>
      <w:r>
        <w:rPr>
          <w:rFonts w:ascii="Calibri Light" w:hAnsi="Calibri Light" w:cs="Calibri Light"/>
          <w:color w:val="2E5395"/>
          <w:sz w:val="32"/>
        </w:rPr>
        <w:t>projakościowej</w:t>
      </w:r>
      <w:proofErr w:type="spellEnd"/>
      <w:r>
        <w:rPr>
          <w:rFonts w:ascii="Calibri Light" w:hAnsi="Calibri Light" w:cs="Calibri Light"/>
          <w:color w:val="2E5395"/>
          <w:sz w:val="32"/>
        </w:rPr>
        <w:t xml:space="preserve"> </w:t>
      </w:r>
      <w:proofErr w:type="spellStart"/>
      <w:r>
        <w:rPr>
          <w:rFonts w:ascii="Calibri Light" w:hAnsi="Calibri Light" w:cs="Calibri Light"/>
          <w:color w:val="2E5395"/>
          <w:sz w:val="32"/>
        </w:rPr>
        <w:t>dla</w:t>
      </w:r>
      <w:proofErr w:type="spellEnd"/>
      <w:r>
        <w:rPr>
          <w:rFonts w:ascii="Calibri Light" w:hAnsi="Calibri Light" w:cs="Calibri Light"/>
          <w:color w:val="2E5395"/>
          <w:sz w:val="32"/>
        </w:rPr>
        <w:t xml:space="preserve"> Instytut Psychologii UJ</w:t>
      </w:r>
    </w:p>
    <w:p w:rsidR="00421C77" w:rsidRDefault="00421C77">
      <w:pPr>
        <w:pStyle w:val="Tekstpodstawowy"/>
        <w:spacing w:before="4"/>
        <w:ind w:left="0"/>
        <w:jc w:val="left"/>
        <w:rPr>
          <w:rFonts w:ascii="Calibri Light" w:hAnsi="Calibri Light" w:cs="Calibri Light"/>
          <w:sz w:val="33"/>
        </w:rPr>
      </w:pPr>
    </w:p>
    <w:p w:rsidR="00421C77" w:rsidRDefault="001F6445">
      <w:pPr>
        <w:pStyle w:val="Nagwek1"/>
        <w:tabs>
          <w:tab w:val="left" w:pos="357"/>
        </w:tabs>
        <w:jc w:val="left"/>
      </w:pPr>
      <w:proofErr w:type="spellStart"/>
      <w:r>
        <w:t>Cel</w:t>
      </w:r>
      <w:proofErr w:type="spellEnd"/>
    </w:p>
    <w:p w:rsidR="00421C77" w:rsidRDefault="001F6445">
      <w:pPr>
        <w:pStyle w:val="Tekstpodstawowy"/>
        <w:spacing w:before="170" w:line="360" w:lineRule="auto"/>
        <w:ind w:right="115"/>
        <w:jc w:val="left"/>
        <w:rPr>
          <w:sz w:val="36"/>
        </w:rPr>
      </w:pPr>
      <w:r>
        <w:t xml:space="preserve">Z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projakościowej</w:t>
      </w:r>
      <w:proofErr w:type="spellEnd"/>
      <w:r>
        <w:t xml:space="preserve"> </w:t>
      </w:r>
      <w:proofErr w:type="spellStart"/>
      <w:r>
        <w:t>przyznanej</w:t>
      </w:r>
      <w:proofErr w:type="spellEnd"/>
      <w:r>
        <w:t xml:space="preserve"> </w:t>
      </w:r>
      <w:proofErr w:type="spellStart"/>
      <w:r>
        <w:t>Wydziałowi</w:t>
      </w:r>
      <w:proofErr w:type="spellEnd"/>
      <w:r>
        <w:t xml:space="preserve"> </w:t>
      </w:r>
      <w:proofErr w:type="spellStart"/>
      <w:r>
        <w:t>Filozoficznemu</w:t>
      </w:r>
      <w:proofErr w:type="spellEnd"/>
      <w:r>
        <w:t xml:space="preserve"> UJ, w </w:t>
      </w:r>
      <w:proofErr w:type="spellStart"/>
      <w:r>
        <w:t>kwocie</w:t>
      </w:r>
      <w:proofErr w:type="spellEnd"/>
      <w:r>
        <w:t xml:space="preserve"> 20 000 PLN </w:t>
      </w:r>
      <w:proofErr w:type="spellStart"/>
      <w:r>
        <w:t>przypadającej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r>
        <w:t>Instytut</w:t>
      </w:r>
      <w:r>
        <w:rPr>
          <w:spacing w:val="-8"/>
        </w:rPr>
        <w:t xml:space="preserve"> Psychologii</w:t>
      </w:r>
      <w:r>
        <w:t>,</w:t>
      </w:r>
      <w:r>
        <w:rPr>
          <w:spacing w:val="-11"/>
        </w:rPr>
        <w:t xml:space="preserve"> </w:t>
      </w:r>
      <w:proofErr w:type="spellStart"/>
      <w:r>
        <w:t>finansowane</w:t>
      </w:r>
      <w:proofErr w:type="spellEnd"/>
      <w:r>
        <w:rPr>
          <w:spacing w:val="-11"/>
        </w:rPr>
        <w:t xml:space="preserve"> </w:t>
      </w:r>
      <w:proofErr w:type="spellStart"/>
      <w:r>
        <w:t>są</w:t>
      </w:r>
      <w:proofErr w:type="spellEnd"/>
      <w:r>
        <w:rPr>
          <w:spacing w:val="-12"/>
        </w:rPr>
        <w:t xml:space="preserve"> </w:t>
      </w:r>
      <w:proofErr w:type="spellStart"/>
      <w:r>
        <w:t>projekty</w:t>
      </w:r>
      <w:proofErr w:type="spellEnd"/>
      <w:r>
        <w:rPr>
          <w:spacing w:val="-15"/>
        </w:rPr>
        <w:t xml:space="preserve"> </w:t>
      </w:r>
      <w:proofErr w:type="spellStart"/>
      <w:r>
        <w:t>służące</w:t>
      </w:r>
      <w:proofErr w:type="spellEnd"/>
      <w:r>
        <w:rPr>
          <w:spacing w:val="-12"/>
        </w:rPr>
        <w:t xml:space="preserve"> </w:t>
      </w:r>
      <w:proofErr w:type="spellStart"/>
      <w:r>
        <w:t>udziałowi</w:t>
      </w:r>
      <w:proofErr w:type="spellEnd"/>
      <w:r>
        <w:rPr>
          <w:spacing w:val="-11"/>
        </w:rPr>
        <w:t xml:space="preserve"> </w:t>
      </w:r>
      <w:proofErr w:type="spellStart"/>
      <w:r>
        <w:t>studentów</w:t>
      </w:r>
      <w:proofErr w:type="spellEnd"/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proofErr w:type="spellStart"/>
      <w:r>
        <w:t>życiu</w:t>
      </w:r>
      <w:proofErr w:type="spellEnd"/>
      <w:r>
        <w:rPr>
          <w:spacing w:val="-11"/>
        </w:rPr>
        <w:t xml:space="preserve"> </w:t>
      </w:r>
      <w:proofErr w:type="spellStart"/>
      <w:r>
        <w:t>naukowym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przygotowywaniu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magisterskich</w:t>
      </w:r>
      <w:proofErr w:type="spellEnd"/>
      <w:r>
        <w:t>.</w:t>
      </w:r>
    </w:p>
    <w:p w:rsidR="00421C77" w:rsidRDefault="00421C77">
      <w:pPr>
        <w:pStyle w:val="Tekstpodstawowy"/>
        <w:spacing w:before="5"/>
        <w:ind w:left="0"/>
        <w:jc w:val="left"/>
        <w:rPr>
          <w:sz w:val="36"/>
        </w:rPr>
      </w:pPr>
    </w:p>
    <w:p w:rsidR="00421C77" w:rsidRDefault="001F6445">
      <w:pPr>
        <w:pStyle w:val="Nagwek1"/>
        <w:tabs>
          <w:tab w:val="left" w:pos="357"/>
        </w:tabs>
        <w:jc w:val="left"/>
      </w:pPr>
      <w:proofErr w:type="spellStart"/>
      <w:r>
        <w:t>Uprawnieni</w:t>
      </w:r>
      <w:proofErr w:type="spellEnd"/>
    </w:p>
    <w:p w:rsidR="00421C77" w:rsidRDefault="001F6445">
      <w:pPr>
        <w:pStyle w:val="Akapitzlist1"/>
        <w:numPr>
          <w:ilvl w:val="1"/>
          <w:numId w:val="2"/>
        </w:numPr>
        <w:tabs>
          <w:tab w:val="left" w:pos="619"/>
        </w:tabs>
        <w:spacing w:before="170" w:line="360" w:lineRule="auto"/>
        <w:ind w:right="114" w:firstLine="0"/>
        <w:jc w:val="left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finansowanie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magisterskie</w:t>
      </w:r>
      <w:proofErr w:type="spellEnd"/>
      <w:r>
        <w:rPr>
          <w:sz w:val="24"/>
        </w:rPr>
        <w:t xml:space="preserve"> pod </w:t>
      </w:r>
      <w:proofErr w:type="spellStart"/>
      <w:r>
        <w:rPr>
          <w:sz w:val="24"/>
        </w:rPr>
        <w:t>opieką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pracowników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Instytutu</w:t>
      </w:r>
      <w:proofErr w:type="spellEnd"/>
      <w:r>
        <w:rPr>
          <w:sz w:val="24"/>
        </w:rPr>
        <w:t xml:space="preserve"> Psychologii UJ.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otrzymała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środki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finansowe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odpowiada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kierownik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:rsidR="00421C77" w:rsidRDefault="001F6445">
      <w:pPr>
        <w:pStyle w:val="Akapitzlist1"/>
        <w:numPr>
          <w:ilvl w:val="1"/>
          <w:numId w:val="2"/>
        </w:numPr>
        <w:tabs>
          <w:tab w:val="left" w:pos="535"/>
        </w:tabs>
        <w:spacing w:before="6" w:line="360" w:lineRule="auto"/>
        <w:ind w:right="115" w:firstLine="0"/>
        <w:jc w:val="left"/>
        <w:rPr>
          <w:sz w:val="36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finansowanie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zespoły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złożone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osób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wymienionych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punkcie</w:t>
      </w:r>
      <w:proofErr w:type="spellEnd"/>
      <w:r>
        <w:rPr>
          <w:spacing w:val="-39"/>
          <w:sz w:val="24"/>
        </w:rPr>
        <w:t xml:space="preserve"> 1..</w:t>
      </w:r>
      <w:r>
        <w:rPr>
          <w:sz w:val="24"/>
        </w:rPr>
        <w:t xml:space="preserve">1. </w:t>
      </w:r>
      <w:proofErr w:type="spellStart"/>
      <w:r>
        <w:rPr>
          <w:sz w:val="24"/>
        </w:rPr>
        <w:t>Spośród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członków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zespołu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wyznaczyć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kierownika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środki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finansowe</w:t>
      </w:r>
      <w:proofErr w:type="spellEnd"/>
      <w:r>
        <w:rPr>
          <w:sz w:val="24"/>
        </w:rPr>
        <w:t>.</w:t>
      </w:r>
    </w:p>
    <w:p w:rsidR="00421C77" w:rsidRDefault="00421C77">
      <w:pPr>
        <w:pStyle w:val="Tekstpodstawowy"/>
        <w:spacing w:before="5"/>
        <w:ind w:left="0"/>
        <w:jc w:val="left"/>
        <w:rPr>
          <w:sz w:val="36"/>
        </w:rPr>
      </w:pPr>
    </w:p>
    <w:p w:rsidR="00421C77" w:rsidRDefault="001F6445">
      <w:pPr>
        <w:pStyle w:val="Nagwek1"/>
        <w:tabs>
          <w:tab w:val="left" w:pos="357"/>
        </w:tabs>
        <w:jc w:val="left"/>
      </w:pPr>
      <w:proofErr w:type="spellStart"/>
      <w:r>
        <w:t>Koszty</w:t>
      </w:r>
      <w:proofErr w:type="spellEnd"/>
      <w:r>
        <w:t xml:space="preserve"> </w:t>
      </w:r>
      <w:proofErr w:type="spellStart"/>
      <w:r>
        <w:t>podlegające</w:t>
      </w:r>
      <w:proofErr w:type="spellEnd"/>
      <w:r>
        <w:rPr>
          <w:spacing w:val="-7"/>
        </w:rPr>
        <w:t xml:space="preserve"> </w:t>
      </w:r>
      <w:proofErr w:type="spellStart"/>
      <w:r>
        <w:t>finansowaniu</w:t>
      </w:r>
      <w:proofErr w:type="spellEnd"/>
    </w:p>
    <w:p w:rsidR="00421C77" w:rsidRDefault="001F6445">
      <w:pPr>
        <w:pStyle w:val="Akapitzlist1"/>
        <w:numPr>
          <w:ilvl w:val="1"/>
          <w:numId w:val="2"/>
        </w:numPr>
        <w:tabs>
          <w:tab w:val="left" w:pos="537"/>
        </w:tabs>
        <w:spacing w:before="168"/>
        <w:ind w:left="119" w:firstLine="0"/>
        <w:jc w:val="left"/>
        <w:rPr>
          <w:sz w:val="24"/>
        </w:rPr>
      </w:pPr>
      <w:proofErr w:type="spellStart"/>
      <w:r>
        <w:rPr>
          <w:sz w:val="24"/>
        </w:rPr>
        <w:t>Projekty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finansowane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całości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w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części</w:t>
      </w:r>
      <w:proofErr w:type="spellEnd"/>
      <w:r>
        <w:rPr>
          <w:sz w:val="24"/>
        </w:rPr>
        <w:t>.</w:t>
      </w:r>
    </w:p>
    <w:p w:rsidR="00421C77" w:rsidRDefault="001F6445">
      <w:pPr>
        <w:pStyle w:val="Akapitzlist1"/>
        <w:numPr>
          <w:ilvl w:val="1"/>
          <w:numId w:val="2"/>
        </w:numPr>
        <w:tabs>
          <w:tab w:val="left" w:pos="537"/>
        </w:tabs>
        <w:spacing w:before="168" w:line="360" w:lineRule="auto"/>
        <w:ind w:left="119" w:firstLine="0"/>
        <w:jc w:val="left"/>
        <w:rPr>
          <w:sz w:val="24"/>
        </w:rPr>
      </w:pPr>
      <w:proofErr w:type="spellStart"/>
      <w:r>
        <w:rPr>
          <w:sz w:val="24"/>
        </w:rPr>
        <w:t>Finansowaniu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podlegają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koszty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rzeczowe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związane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udziałem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życiu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naukowym</w:t>
      </w:r>
      <w:proofErr w:type="spellEnd"/>
      <w:r>
        <w:rPr>
          <w:sz w:val="24"/>
        </w:rPr>
        <w:t xml:space="preserve">, w </w:t>
      </w:r>
      <w:proofErr w:type="spellStart"/>
      <w:r>
        <w:rPr>
          <w:sz w:val="24"/>
        </w:rPr>
        <w:t>szczególności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koszty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publikacji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udziału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konferencjach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naukowych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bookmarkStart w:id="0" w:name="_GoBack"/>
      <w:bookmarkEnd w:id="0"/>
      <w:proofErr w:type="spellStart"/>
      <w:r>
        <w:rPr>
          <w:sz w:val="24"/>
        </w:rPr>
        <w:t>koszty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związane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udziałem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osób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zewnętrznych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które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wykonują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zadań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badawczych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(np.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ochotnicy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poddający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laboratoryjnym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ankieterzy</w:t>
      </w:r>
      <w:proofErr w:type="spellEnd"/>
      <w:r>
        <w:rPr>
          <w:sz w:val="24"/>
        </w:rPr>
        <w:t>).</w:t>
      </w:r>
    </w:p>
    <w:p w:rsidR="00421C77" w:rsidRDefault="001F6445">
      <w:pPr>
        <w:pStyle w:val="Akapitzlist1"/>
        <w:numPr>
          <w:ilvl w:val="1"/>
          <w:numId w:val="2"/>
        </w:numPr>
        <w:tabs>
          <w:tab w:val="left" w:pos="621"/>
        </w:tabs>
        <w:spacing w:before="4" w:line="360" w:lineRule="auto"/>
        <w:ind w:right="117" w:firstLine="0"/>
        <w:jc w:val="left"/>
        <w:rPr>
          <w:sz w:val="24"/>
        </w:rPr>
      </w:pPr>
      <w:proofErr w:type="spellStart"/>
      <w:r>
        <w:rPr>
          <w:sz w:val="24"/>
        </w:rPr>
        <w:t>Wyklucza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finansowanie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kosztów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kierowników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wykonawców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projektów</w:t>
      </w:r>
      <w:proofErr w:type="spellEnd"/>
      <w:r>
        <w:rPr>
          <w:sz w:val="24"/>
        </w:rPr>
        <w:t>.</w:t>
      </w:r>
    </w:p>
    <w:p w:rsidR="00421C77" w:rsidRDefault="001F6445">
      <w:pPr>
        <w:pStyle w:val="Akapitzlist1"/>
        <w:numPr>
          <w:ilvl w:val="1"/>
          <w:numId w:val="2"/>
        </w:numPr>
        <w:tabs>
          <w:tab w:val="left" w:pos="537"/>
        </w:tabs>
        <w:spacing w:before="6"/>
        <w:ind w:left="536" w:hanging="420"/>
        <w:jc w:val="left"/>
        <w:rPr>
          <w:sz w:val="26"/>
        </w:rPr>
      </w:pPr>
      <w:proofErr w:type="spellStart"/>
      <w:r>
        <w:rPr>
          <w:sz w:val="24"/>
        </w:rPr>
        <w:t>Kwota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maksymalna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finansowania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wynosi</w:t>
      </w:r>
      <w:proofErr w:type="spellEnd"/>
      <w:r>
        <w:rPr>
          <w:sz w:val="24"/>
        </w:rPr>
        <w:t xml:space="preserve"> 2000 PLN.</w:t>
      </w:r>
    </w:p>
    <w:p w:rsidR="00421C77" w:rsidRDefault="00421C77">
      <w:pPr>
        <w:pStyle w:val="Tekstpodstawowy"/>
        <w:ind w:left="0"/>
        <w:jc w:val="left"/>
        <w:rPr>
          <w:sz w:val="26"/>
        </w:rPr>
      </w:pPr>
    </w:p>
    <w:p w:rsidR="00421C77" w:rsidRDefault="00421C77">
      <w:pPr>
        <w:pStyle w:val="Tekstpodstawowy"/>
        <w:ind w:left="0"/>
        <w:jc w:val="left"/>
        <w:rPr>
          <w:sz w:val="22"/>
        </w:rPr>
      </w:pPr>
    </w:p>
    <w:p w:rsidR="00421C77" w:rsidRDefault="001F6445">
      <w:pPr>
        <w:pStyle w:val="Nagwek1"/>
        <w:tabs>
          <w:tab w:val="left" w:pos="357"/>
        </w:tabs>
        <w:jc w:val="left"/>
      </w:pPr>
      <w:proofErr w:type="spellStart"/>
      <w:r>
        <w:t>Przyznawanie</w:t>
      </w:r>
      <w:proofErr w:type="spellEnd"/>
      <w:r>
        <w:t xml:space="preserve"> i </w:t>
      </w:r>
      <w:proofErr w:type="spellStart"/>
      <w:r>
        <w:t>rozliczanie</w:t>
      </w:r>
      <w:proofErr w:type="spellEnd"/>
      <w:r>
        <w:rPr>
          <w:spacing w:val="-14"/>
        </w:rPr>
        <w:t xml:space="preserve"> </w:t>
      </w:r>
      <w:proofErr w:type="spellStart"/>
      <w:r>
        <w:t>środków</w:t>
      </w:r>
      <w:proofErr w:type="spellEnd"/>
    </w:p>
    <w:p w:rsidR="00421C77" w:rsidRDefault="001F6445">
      <w:pPr>
        <w:pStyle w:val="Akapitzlist1"/>
        <w:numPr>
          <w:ilvl w:val="1"/>
          <w:numId w:val="2"/>
        </w:numPr>
        <w:tabs>
          <w:tab w:val="left" w:pos="527"/>
        </w:tabs>
        <w:spacing w:before="170" w:line="360" w:lineRule="auto"/>
        <w:ind w:right="122" w:firstLine="0"/>
        <w:jc w:val="left"/>
        <w:rPr>
          <w:sz w:val="24"/>
        </w:rPr>
        <w:sectPr w:rsidR="00421C77">
          <w:pgSz w:w="11906" w:h="16838"/>
          <w:pgMar w:top="1134" w:right="1134" w:bottom="1134" w:left="1134" w:header="708" w:footer="708" w:gutter="0"/>
          <w:cols w:space="708"/>
          <w:docGrid w:linePitch="600" w:charSpace="36864"/>
        </w:sectPr>
      </w:pPr>
      <w:proofErr w:type="spellStart"/>
      <w:r>
        <w:rPr>
          <w:sz w:val="24"/>
        </w:rPr>
        <w:t>Środki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przyznawane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bieżący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rok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akademicki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muszą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zostać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wydatkowane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przed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jego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końcem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do 30 </w:t>
      </w:r>
      <w:proofErr w:type="spellStart"/>
      <w:r>
        <w:rPr>
          <w:sz w:val="24"/>
        </w:rPr>
        <w:t>września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danego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wskładania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wniosków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rozstrzygnięcia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konkursu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zatwierdzany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corocznie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Instytutu</w:t>
      </w:r>
      <w:proofErr w:type="spellEnd"/>
      <w:r>
        <w:rPr>
          <w:sz w:val="24"/>
        </w:rPr>
        <w:t xml:space="preserve"> Psychologii UJ i </w:t>
      </w:r>
      <w:proofErr w:type="spellStart"/>
      <w:r>
        <w:rPr>
          <w:sz w:val="24"/>
        </w:rPr>
        <w:t>ogłaszany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stronie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internetowej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Instytutu</w:t>
      </w:r>
      <w:proofErr w:type="spellEnd"/>
      <w:r>
        <w:rPr>
          <w:sz w:val="24"/>
        </w:rPr>
        <w:t xml:space="preserve"> Psychologii UJ.</w:t>
      </w:r>
    </w:p>
    <w:p w:rsidR="00421C77" w:rsidRDefault="001F6445">
      <w:pPr>
        <w:pStyle w:val="Akapitzlist1"/>
        <w:numPr>
          <w:ilvl w:val="1"/>
          <w:numId w:val="2"/>
        </w:numPr>
        <w:tabs>
          <w:tab w:val="left" w:pos="618"/>
        </w:tabs>
        <w:spacing w:before="139" w:line="360" w:lineRule="auto"/>
        <w:ind w:right="117" w:firstLine="0"/>
        <w:jc w:val="left"/>
        <w:rPr>
          <w:sz w:val="24"/>
        </w:rPr>
      </w:pPr>
      <w:proofErr w:type="spellStart"/>
      <w:r>
        <w:rPr>
          <w:sz w:val="24"/>
        </w:rPr>
        <w:lastRenderedPageBreak/>
        <w:t>Wniosek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powinien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zawierać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merytoryczny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kosztorys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informacją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ewentualnym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dofinansowaniu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innych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źródeł</w:t>
      </w:r>
      <w:proofErr w:type="spellEnd"/>
      <w:r>
        <w:rPr>
          <w:sz w:val="24"/>
        </w:rPr>
        <w:t xml:space="preserve">. Do </w:t>
      </w:r>
      <w:proofErr w:type="spellStart"/>
      <w:r>
        <w:rPr>
          <w:sz w:val="24"/>
        </w:rPr>
        <w:t>wniosku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załaczyć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oświadczenie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promotora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magisterskiej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akceptującego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wniosku</w:t>
      </w:r>
      <w:proofErr w:type="spellEnd"/>
      <w:r>
        <w:rPr>
          <w:sz w:val="24"/>
        </w:rPr>
        <w:t>.</w:t>
      </w:r>
    </w:p>
    <w:p w:rsidR="00421C77" w:rsidRDefault="001F6445">
      <w:pPr>
        <w:pStyle w:val="Akapitzlist1"/>
        <w:numPr>
          <w:ilvl w:val="1"/>
          <w:numId w:val="2"/>
        </w:numPr>
        <w:tabs>
          <w:tab w:val="left" w:pos="578"/>
        </w:tabs>
        <w:spacing w:before="6" w:line="360" w:lineRule="auto"/>
        <w:ind w:right="122" w:firstLine="0"/>
        <w:jc w:val="left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trakcie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złożyć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wniosek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zmianę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terminu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warunków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:rsidR="00421C77" w:rsidRDefault="001F6445">
      <w:pPr>
        <w:pStyle w:val="Akapitzlist1"/>
        <w:numPr>
          <w:ilvl w:val="1"/>
          <w:numId w:val="2"/>
        </w:numPr>
        <w:tabs>
          <w:tab w:val="left" w:pos="635"/>
        </w:tabs>
        <w:spacing w:before="6" w:line="360" w:lineRule="auto"/>
        <w:ind w:left="119" w:firstLine="0"/>
        <w:jc w:val="left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przyznaniu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środków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decyduje</w:t>
      </w:r>
      <w:proofErr w:type="spellEnd"/>
      <w:r>
        <w:rPr>
          <w:sz w:val="24"/>
        </w:rPr>
        <w:t xml:space="preserve"> Komisja </w:t>
      </w:r>
      <w:proofErr w:type="spellStart"/>
      <w:r>
        <w:rPr>
          <w:sz w:val="24"/>
        </w:rPr>
        <w:t>Konkursowa</w:t>
      </w:r>
      <w:proofErr w:type="spellEnd"/>
      <w:r>
        <w:rPr>
          <w:sz w:val="24"/>
        </w:rPr>
        <w:t xml:space="preserve">, w </w:t>
      </w:r>
      <w:proofErr w:type="spellStart"/>
      <w:r>
        <w:rPr>
          <w:sz w:val="24"/>
        </w:rPr>
        <w:t>której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skład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wchodzi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czworo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pracowników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samodzielnych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Instytutu</w:t>
      </w:r>
      <w:proofErr w:type="spellEnd"/>
      <w:r>
        <w:rPr>
          <w:sz w:val="24"/>
        </w:rPr>
        <w:t xml:space="preserve"> Psychologii UJ i </w:t>
      </w:r>
      <w:proofErr w:type="spellStart"/>
      <w:r>
        <w:rPr>
          <w:sz w:val="24"/>
        </w:rPr>
        <w:t>przynajmniej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reprezentująca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studentów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Skład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Komisji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zatwierdzany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Instytutu</w:t>
      </w:r>
      <w:proofErr w:type="spellEnd"/>
      <w:r>
        <w:rPr>
          <w:sz w:val="24"/>
        </w:rPr>
        <w:t xml:space="preserve"> Psychologii UJ. Komisja </w:t>
      </w:r>
      <w:proofErr w:type="spellStart"/>
      <w:r>
        <w:rPr>
          <w:sz w:val="24"/>
        </w:rPr>
        <w:t>Konkursowa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decyduje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przyznaniu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dofinansowania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oparciu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recenzje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przygotowane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recenzentów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powoływanych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Komisję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spośród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etatowych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pracowników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Instytutu</w:t>
      </w:r>
      <w:proofErr w:type="spellEnd"/>
      <w:r>
        <w:rPr>
          <w:sz w:val="24"/>
        </w:rPr>
        <w:t xml:space="preserve"> Psychologii UJ.</w:t>
      </w:r>
    </w:p>
    <w:p w:rsidR="00421C77" w:rsidRDefault="001F6445">
      <w:pPr>
        <w:pStyle w:val="Akapitzlist1"/>
        <w:numPr>
          <w:ilvl w:val="1"/>
          <w:numId w:val="2"/>
        </w:numPr>
        <w:tabs>
          <w:tab w:val="left" w:pos="544"/>
        </w:tabs>
        <w:spacing w:before="4" w:line="360" w:lineRule="auto"/>
        <w:ind w:right="113" w:firstLine="0"/>
        <w:jc w:val="left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terminie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planowanego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zakończenia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kierownicy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składają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Komisji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Konkursowej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sprawozdanie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dokumentację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efektów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rozliczenie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środków</w:t>
      </w:r>
      <w:proofErr w:type="spellEnd"/>
      <w:r>
        <w:rPr>
          <w:sz w:val="24"/>
        </w:rPr>
        <w:t>.</w:t>
      </w:r>
    </w:p>
    <w:p w:rsidR="00421C77" w:rsidRDefault="001F6445">
      <w:pPr>
        <w:pStyle w:val="Akapitzlist1"/>
        <w:numPr>
          <w:ilvl w:val="1"/>
          <w:numId w:val="2"/>
        </w:numPr>
        <w:tabs>
          <w:tab w:val="left" w:pos="602"/>
        </w:tabs>
        <w:spacing w:before="4" w:line="360" w:lineRule="auto"/>
        <w:ind w:right="114" w:firstLine="0"/>
        <w:jc w:val="left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razie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stwierdzenia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Komisję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Konkursową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rozbieżności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merytorycznych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księgowych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kierownicy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zobowiązani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zwrotu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przyznanych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środków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całości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części</w:t>
      </w:r>
      <w:proofErr w:type="spellEnd"/>
      <w:r>
        <w:rPr>
          <w:sz w:val="24"/>
        </w:rPr>
        <w:t xml:space="preserve">, w </w:t>
      </w:r>
      <w:proofErr w:type="spellStart"/>
      <w:r>
        <w:rPr>
          <w:sz w:val="24"/>
        </w:rPr>
        <w:t>jakiej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stwierdzono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rozbnieżności</w:t>
      </w:r>
      <w:proofErr w:type="spellEnd"/>
      <w:r>
        <w:rPr>
          <w:sz w:val="24"/>
        </w:rPr>
        <w:t>.</w:t>
      </w:r>
    </w:p>
    <w:p w:rsidR="00421C77" w:rsidRDefault="001F6445">
      <w:pPr>
        <w:pStyle w:val="Akapitzlist1"/>
        <w:numPr>
          <w:ilvl w:val="1"/>
          <w:numId w:val="2"/>
        </w:numPr>
        <w:tabs>
          <w:tab w:val="left" w:pos="527"/>
        </w:tabs>
        <w:spacing w:before="6" w:line="360" w:lineRule="auto"/>
        <w:ind w:right="114" w:firstLine="0"/>
        <w:jc w:val="left"/>
        <w:rPr>
          <w:sz w:val="36"/>
        </w:rPr>
      </w:pPr>
      <w:proofErr w:type="spellStart"/>
      <w:r>
        <w:rPr>
          <w:sz w:val="24"/>
        </w:rPr>
        <w:t>Środki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niewykorzystane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przed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 xml:space="preserve">30. </w:t>
      </w:r>
      <w:proofErr w:type="spellStart"/>
      <w:r>
        <w:rPr>
          <w:sz w:val="24"/>
        </w:rPr>
        <w:t>września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danego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pozostają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wolnej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dyspozycji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Komisji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Konkursowej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porozumieniu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Dyrekcją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Instytutu</w:t>
      </w:r>
      <w:proofErr w:type="spellEnd"/>
      <w:r>
        <w:rPr>
          <w:sz w:val="24"/>
        </w:rPr>
        <w:t xml:space="preserve"> Psychologii i </w:t>
      </w:r>
      <w:proofErr w:type="spellStart"/>
      <w:r>
        <w:rPr>
          <w:sz w:val="24"/>
        </w:rPr>
        <w:t>Samorządem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Studenckim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przeznacza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projakościowe</w:t>
      </w:r>
      <w:proofErr w:type="spellEnd"/>
      <w:r>
        <w:rPr>
          <w:sz w:val="24"/>
        </w:rPr>
        <w:t>.</w:t>
      </w:r>
    </w:p>
    <w:p w:rsidR="00421C77" w:rsidRDefault="00421C77">
      <w:pPr>
        <w:pStyle w:val="Tekstpodstawowy"/>
        <w:spacing w:before="5"/>
        <w:ind w:left="0"/>
        <w:jc w:val="left"/>
        <w:rPr>
          <w:sz w:val="36"/>
        </w:rPr>
      </w:pPr>
    </w:p>
    <w:p w:rsidR="00421C77" w:rsidRDefault="001F6445">
      <w:pPr>
        <w:pStyle w:val="Nagwek1"/>
        <w:tabs>
          <w:tab w:val="left" w:pos="357"/>
        </w:tabs>
        <w:jc w:val="left"/>
      </w:pPr>
      <w:proofErr w:type="spellStart"/>
      <w:r>
        <w:t>Nadzór</w:t>
      </w:r>
      <w:proofErr w:type="spellEnd"/>
      <w:r>
        <w:t xml:space="preserve"> i</w:t>
      </w:r>
      <w:r>
        <w:rPr>
          <w:spacing w:val="-4"/>
        </w:rPr>
        <w:t xml:space="preserve"> </w:t>
      </w:r>
      <w:proofErr w:type="spellStart"/>
      <w:r>
        <w:t>odwołania</w:t>
      </w:r>
      <w:proofErr w:type="spellEnd"/>
    </w:p>
    <w:p w:rsidR="00421C77" w:rsidRDefault="001F6445">
      <w:pPr>
        <w:pStyle w:val="Akapitzlist1"/>
        <w:numPr>
          <w:ilvl w:val="1"/>
          <w:numId w:val="2"/>
        </w:numPr>
        <w:tabs>
          <w:tab w:val="left" w:pos="537"/>
        </w:tabs>
        <w:spacing w:before="168"/>
        <w:ind w:left="119" w:firstLine="0"/>
        <w:jc w:val="left"/>
        <w:rPr>
          <w:sz w:val="24"/>
        </w:rPr>
      </w:pPr>
      <w:proofErr w:type="spellStart"/>
      <w:r>
        <w:rPr>
          <w:sz w:val="24"/>
        </w:rPr>
        <w:t>Nadzór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sposobem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wykorzystywania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środków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sprawuje</w:t>
      </w:r>
      <w:proofErr w:type="spellEnd"/>
      <w:r>
        <w:rPr>
          <w:sz w:val="24"/>
        </w:rPr>
        <w:t xml:space="preserve"> Komisja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Konkursowa</w:t>
      </w:r>
      <w:proofErr w:type="spellEnd"/>
      <w:r>
        <w:rPr>
          <w:sz w:val="24"/>
        </w:rPr>
        <w:t>.</w:t>
      </w:r>
    </w:p>
    <w:p w:rsidR="00421C77" w:rsidRDefault="001F6445">
      <w:pPr>
        <w:pStyle w:val="Akapitzlist1"/>
        <w:numPr>
          <w:ilvl w:val="1"/>
          <w:numId w:val="2"/>
        </w:numPr>
        <w:tabs>
          <w:tab w:val="left" w:pos="594"/>
        </w:tabs>
        <w:spacing w:before="139" w:line="360" w:lineRule="auto"/>
        <w:ind w:right="114" w:firstLine="0"/>
        <w:jc w:val="left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końca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każdego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kalendarzowego</w:t>
      </w:r>
      <w:proofErr w:type="spellEnd"/>
      <w:r>
        <w:rPr>
          <w:sz w:val="24"/>
        </w:rPr>
        <w:t xml:space="preserve"> Komisja </w:t>
      </w:r>
      <w:proofErr w:type="spellStart"/>
      <w:r>
        <w:rPr>
          <w:sz w:val="24"/>
        </w:rPr>
        <w:t>Konkursowa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składa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sprawozdanie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Dyrekcji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Radzie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Instytutu</w:t>
      </w:r>
      <w:proofErr w:type="spellEnd"/>
      <w:r>
        <w:rPr>
          <w:sz w:val="24"/>
        </w:rPr>
        <w:t xml:space="preserve"> Psychologii UJ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Samorządowi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Studenckiemu</w:t>
      </w:r>
      <w:proofErr w:type="spellEnd"/>
      <w:r>
        <w:rPr>
          <w:sz w:val="24"/>
        </w:rPr>
        <w:t>.</w:t>
      </w:r>
    </w:p>
    <w:p w:rsidR="00421C77" w:rsidRDefault="001F6445">
      <w:pPr>
        <w:pStyle w:val="Akapitzlist1"/>
        <w:numPr>
          <w:ilvl w:val="1"/>
          <w:numId w:val="2"/>
        </w:numPr>
        <w:tabs>
          <w:tab w:val="left" w:pos="575"/>
        </w:tabs>
        <w:spacing w:before="7" w:line="360" w:lineRule="auto"/>
        <w:ind w:right="114" w:firstLine="0"/>
        <w:jc w:val="left"/>
      </w:pPr>
      <w:proofErr w:type="spellStart"/>
      <w:r>
        <w:rPr>
          <w:sz w:val="24"/>
        </w:rPr>
        <w:t>Kwestie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sporne</w:t>
      </w:r>
      <w:proofErr w:type="spellEnd"/>
      <w:r>
        <w:rPr>
          <w:sz w:val="24"/>
        </w:rPr>
        <w:t xml:space="preserve">, w </w:t>
      </w:r>
      <w:proofErr w:type="spellStart"/>
      <w:r>
        <w:rPr>
          <w:sz w:val="24"/>
        </w:rPr>
        <w:t>tym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odwołania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decyzji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Konkursowej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kierowane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Dyrektora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Instytutu</w:t>
      </w:r>
      <w:proofErr w:type="spellEnd"/>
      <w:r>
        <w:rPr>
          <w:sz w:val="24"/>
        </w:rPr>
        <w:t xml:space="preserve"> Psychologii UJ.</w:t>
      </w:r>
    </w:p>
    <w:p w:rsidR="001F6445" w:rsidRDefault="001F6445">
      <w:pPr>
        <w:pStyle w:val="Tekstpodstawowy"/>
        <w:spacing w:before="5"/>
        <w:ind w:left="0"/>
        <w:jc w:val="left"/>
      </w:pPr>
    </w:p>
    <w:sectPr w:rsidR="001F6445">
      <w:pgSz w:w="11906" w:h="16838"/>
      <w:pgMar w:top="1320" w:right="1300" w:bottom="280" w:left="130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6" w:hanging="240"/>
      </w:pPr>
      <w:rPr>
        <w:rFonts w:eastAsia="Times New Roman" w:cs="Times New Roman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" w:hanging="502"/>
      </w:pPr>
      <w:rPr>
        <w:rFonts w:eastAsia="Times New Roman" w:cs="Times New Roman"/>
        <w:spacing w:val="-13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54" w:hanging="50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48" w:hanging="50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42" w:hanging="50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36" w:hanging="50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0" w:hanging="50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24" w:hanging="50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18" w:hanging="502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50"/>
    <w:rsid w:val="00141B64"/>
    <w:rsid w:val="001F6445"/>
    <w:rsid w:val="00332D6A"/>
    <w:rsid w:val="00421C77"/>
    <w:rsid w:val="006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8119BE"/>
  <w15:docId w15:val="{735A5540-C8E6-40DD-80C3-6BFD5461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sz w:val="22"/>
      <w:szCs w:val="22"/>
      <w:lang w:val="en-US"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ind w:left="356" w:hanging="240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/>
      <w:bCs/>
      <w:spacing w:val="-2"/>
      <w:w w:val="100"/>
      <w:sz w:val="24"/>
      <w:szCs w:val="24"/>
    </w:rPr>
  </w:style>
  <w:style w:type="character" w:customStyle="1" w:styleId="WW8Num2z1">
    <w:name w:val="WW8Num2z1"/>
    <w:rPr>
      <w:rFonts w:eastAsia="Times New Roman" w:cs="Times New Roman"/>
      <w:spacing w:val="-13"/>
      <w:w w:val="99"/>
      <w:sz w:val="24"/>
      <w:szCs w:val="24"/>
    </w:rPr>
  </w:style>
  <w:style w:type="character" w:customStyle="1" w:styleId="WW8Num2z2">
    <w:name w:val="WW8Num2z2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Times New Roman" w:cs="Times New Roman"/>
      <w:b/>
      <w:bCs/>
      <w:spacing w:val="-2"/>
      <w:w w:val="100"/>
      <w:sz w:val="24"/>
      <w:szCs w:val="24"/>
    </w:rPr>
  </w:style>
  <w:style w:type="character" w:customStyle="1" w:styleId="ListLabel2">
    <w:name w:val="ListLabel 2"/>
    <w:rPr>
      <w:rFonts w:eastAsia="Times New Roman" w:cs="Times New Roman"/>
      <w:spacing w:val="-13"/>
      <w:w w:val="99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ind w:left="116"/>
      <w:jc w:val="both"/>
    </w:pPr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116"/>
      <w:jc w:val="both"/>
    </w:pPr>
  </w:style>
  <w:style w:type="paragraph" w:customStyle="1" w:styleId="TableParagraph">
    <w:name w:val="Table Paragraph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Huber</dc:creator>
  <cp:lastModifiedBy>ms</cp:lastModifiedBy>
  <cp:revision>3</cp:revision>
  <cp:lastPrinted>1899-12-31T23:00:00Z</cp:lastPrinted>
  <dcterms:created xsi:type="dcterms:W3CDTF">2019-11-29T10:25:00Z</dcterms:created>
  <dcterms:modified xsi:type="dcterms:W3CDTF">2019-11-29T10:25:00Z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